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658" w:right="853" w:firstLine="0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ANEXO 5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 DOCENTES PERMANENTES ORIENTADORES (PPGTIC)</w:t>
      </w:r>
    </w:p>
    <w:p w:rsidR="00000000" w:rsidDel="00000000" w:rsidP="00000000" w:rsidRDefault="00000000" w:rsidRPr="00000000" w14:paraId="00000002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Nos quadros abaixo são apresentadas as linhas de pesquisa; o objetivo de cada uma delas; os orientadores por linha; e, os temas de pesquisa sugeridos pelos docentes. É recomendada a leitura com atenção de todos os itens antes da indicação do orientador. Lembramos que os anteprojetos de pesquisa deverão estar enquadrados nas linhas/orientadores indicados.</w:t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Mais dados e informações sobre o quadro docente podem ser obtidos em: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https://ppgtic.ufsc.br/linhas-de-pesquisa/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0"/>
        <w:gridCol w:w="2820"/>
        <w:gridCol w:w="5340"/>
        <w:tblGridChange w:id="0">
          <w:tblGrid>
            <w:gridCol w:w="750"/>
            <w:gridCol w:w="2820"/>
            <w:gridCol w:w="5340"/>
          </w:tblGrid>
        </w:tblGridChange>
      </w:tblGrid>
      <w:tr>
        <w:trPr>
          <w:cantSplit w:val="0"/>
          <w:trHeight w:val="209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TECNOLOGIA, GESTÃO E INOVAÇÃO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Esta linha de pesquisa trabalhará as novas tecnologias da informação e comunicação para o desenvolvimento de novas metodologias, técnicas e processos para a gestão das organizações.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Docentes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Temas de Pesquisa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Andréa Cristina Trierweiller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8"/>
              </w:numPr>
              <w:ind w:left="393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Inovação na Gestão Pública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8"/>
              </w:numPr>
              <w:ind w:left="393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Empreendedorismo, Educação Empreendedora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8"/>
              </w:numPr>
              <w:ind w:left="393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Governança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8"/>
              </w:numPr>
              <w:ind w:left="393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Estratégia Empresarial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8"/>
              </w:numPr>
              <w:ind w:left="393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Segurança da Informação, Integridade e </w:t>
            </w:r>
            <w:r w:rsidDel="00000000" w:rsidR="00000000" w:rsidRPr="00000000">
              <w:rPr>
                <w:i w:val="1"/>
                <w:iCs w:val="1"/>
                <w:color w:val="0a0a0a"/>
                <w:sz w:val="22"/>
                <w:szCs w:val="22"/>
                <w:highlight w:val="white"/>
                <w:rtl w:val="0"/>
              </w:rPr>
              <w:t xml:space="preserve">Compliance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8"/>
              </w:numPr>
              <w:ind w:left="393" w:hanging="360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Sustentabilidad</w:t>
            </w:r>
            <w:r w:rsidDel="00000000" w:rsidR="00000000" w:rsidRPr="00000000">
              <w:rPr>
                <w:rFonts w:ascii="Roboto" w:cs="Roboto" w:eastAsia="Roboto" w:hAnsi="Roboto"/>
                <w:color w:val="0a0a0a"/>
                <w:sz w:val="22"/>
                <w:szCs w:val="22"/>
                <w:highlight w:val="white"/>
                <w:rtl w:val="0"/>
              </w:rPr>
              <w:t xml:space="preserve">e</w:t>
            </w: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0a0a0a"/>
                <w:sz w:val="22"/>
                <w:szCs w:val="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Vilson Gruber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3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Gestão de Ecossistemas Digitais e Aplicações Interdisciplinares 5.0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3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Empreendedorismo Inovador, Startups e Modelos de Negócio Orientados por IA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3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Gestão 5.0: Liderança Humanizada e Otimização de Processos com Inteligência Artificial</w:t>
              <w:tab/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3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Estratégia Empresarial e Governança Sustentável (ESG) na Era da Sociedade, Indústria e Agricultura 5.0 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3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Gestão de Projetos e Sistemas de Telecomunicações (NTICs)  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firstLine="0"/>
              <w:rPr>
                <w:b w:val="1"/>
                <w:bCs w:val="1"/>
                <w:color w:val="0a0a0a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2"/>
                <w:szCs w:val="22"/>
                <w:rtl w:val="0"/>
              </w:rPr>
              <w:t xml:space="preserve">Paulo Cesar Leite Esteves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5.19685039370046" w:hanging="360"/>
              <w:rPr>
                <w:color w:val="0a0a0a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a0a0a"/>
                <w:sz w:val="22"/>
                <w:szCs w:val="22"/>
                <w:rtl w:val="0"/>
              </w:rPr>
              <w:t xml:space="preserve">Políticas Públicas de Ciência, Tecnologia e Inovação - C,T&amp;I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5.19685039370046" w:hanging="360"/>
              <w:rPr>
                <w:color w:val="0a0a0a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a0a0a"/>
                <w:sz w:val="22"/>
                <w:szCs w:val="22"/>
                <w:rtl w:val="0"/>
              </w:rPr>
              <w:t xml:space="preserve">Sistemas  Nacional e Regionais de C,T&amp;I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5.19685039370046" w:hanging="360"/>
              <w:rPr>
                <w:color w:val="0a0a0a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a0a0a"/>
                <w:sz w:val="22"/>
                <w:szCs w:val="22"/>
                <w:rtl w:val="0"/>
              </w:rPr>
              <w:t xml:space="preserve">Agências e Instrumentos Nacionais e Regionais  de apoio à C,T&amp;I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5.19685039370046" w:hanging="360"/>
              <w:rPr>
                <w:color w:val="0a0a0a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a0a0a"/>
                <w:sz w:val="22"/>
                <w:szCs w:val="22"/>
                <w:rtl w:val="0"/>
              </w:rPr>
              <w:t xml:space="preserve">Ecossistemas de Inovação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5.19685039370046" w:hanging="360"/>
              <w:rPr>
                <w:color w:val="0a0a0a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a0a0a"/>
                <w:sz w:val="22"/>
                <w:szCs w:val="22"/>
                <w:rtl w:val="0"/>
              </w:rPr>
              <w:t xml:space="preserve">Gestão Estratégica da Tecnologia e Inovação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5.19685039370046" w:hanging="360"/>
              <w:rPr>
                <w:color w:val="0a0a0a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a0a0a"/>
                <w:sz w:val="22"/>
                <w:szCs w:val="22"/>
                <w:rtl w:val="0"/>
              </w:rPr>
              <w:t xml:space="preserve">Transferência de Tecnologia Universidade/Empresa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a0a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65"/>
        <w:gridCol w:w="2814.0000000000005"/>
        <w:gridCol w:w="5286"/>
        <w:tblGridChange w:id="0">
          <w:tblGrid>
            <w:gridCol w:w="765"/>
            <w:gridCol w:w="2814.0000000000005"/>
            <w:gridCol w:w="528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EDUCAÇÃO E CULTURA DIGITAL</w:t>
            </w:r>
          </w:p>
        </w:tc>
      </w:tr>
      <w:tr>
        <w:trPr>
          <w:cantSplit w:val="0"/>
          <w:trHeight w:val="107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linha de pesquisa envolve o estudo, a concepção, o desenvolvimento e a construção de materiais de apoio ao ensino e à aprendizagem (hardware e software) no contexto educacional, nos diferentes níveis de educação. O objetivo é auxiliar a fomentar o desenvolvimento de habilidades e competências para uso de tecnologias como apoio a inovações educacionais.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Docentes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ind w:left="32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Temas de Pesquisa</w:t>
            </w:r>
          </w:p>
        </w:tc>
      </w:tr>
      <w:tr>
        <w:trPr>
          <w:cantSplit w:val="0"/>
          <w:trHeight w:val="208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Giovani Lunardi Mendonça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(orientará somente doutorado)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Tecnologias Educacionais e Inclusão Social.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Tecnologias Inclusivas e Inovação Social.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Ética Digital, LGPD, Propriedade Intelectual e Tecnologias Sociais.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Tecnologias Assistivas, Plataformas Digitais e Inclusão Educacional.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Habitats de Inovação e Inclusão Social.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Ecossistemas de Inovação e Desenvolvimento Regional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Filosofia e Ética da Inteligência Artificial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2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1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Juarez Bento da Silva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spacing w:before="240" w:lineRule="auto"/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Jogos digitais, gamificação e análise de aprendizagem baseada em jogos.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Robótica educacional e IA embarcada aplicada a ambientes STEAM.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Internet das Coisas e laboratórios inteligentes para educação (sensores, automação, experimentação remota).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Ambientes digitais de aprendizagem mediados por computador, IA e dados educacionais.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Laboratórios online (virtuais, remotos e híbridos) integrando RA/RV/IoT).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Tecnologias móveis, mobile learning e aprendizagem ubíqua/contextual.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Projeto, desenvolvimento e interoperabilidade de objetos educacionais digitais (LOM, SCORM, xAPI).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5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Formação continuada de professores para integração crítica das tecnologias digitais, IA e cultura de dados.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Patricia Jantsch Fiuza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Formação de professores para uso das tecnologias.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Arquiteturas Pedagógicas 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Metodologias Ativas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na Educação.   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Cultura Digital nos Processos Pedagógicos.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Educação a Distância e Ensino híbrido.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Tecnologias móveis e mobile learning na educação.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Recursos Educacionais Abertos.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Inteligência Artificial e Educação.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Inclusão e Tecnologias Assistivas na educação.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Bem estar psicossocial na infância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e adolescência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Tecnologias e Saúde Mental.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Simone Meister Sommer Bilessimo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Educação Empreendedora;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Laboratórios online (virtuais e remotos).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Formação continuada de profissionais da educação para integração das tecnologias educacionais emergentes;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Formação continuada de profissionais para a integração crítica das  tecnologias digitais, IA e cultura de dados.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Metodologias Ativas na educação inovadora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8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Movimento Maker, Espaço maker, projeto e desenvolvimento de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recursos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educacionais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</w:t>
              <w:tab/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Fabrício Herpich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numPr>
                <w:ilvl w:val="0"/>
                <w:numId w:val="9"/>
              </w:numPr>
              <w:ind w:left="328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Inteligência Artificial e Educação.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9"/>
              </w:numPr>
              <w:ind w:left="328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Neurociência aplicada à educação.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9"/>
              </w:numPr>
              <w:ind w:left="328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Tecnologias Educacionais.</w:t>
            </w:r>
          </w:p>
        </w:tc>
      </w:tr>
    </w:tbl>
    <w:p w:rsidR="00000000" w:rsidDel="00000000" w:rsidP="00000000" w:rsidRDefault="00000000" w:rsidRPr="00000000" w14:paraId="0000006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65"/>
        <w:gridCol w:w="3075"/>
        <w:gridCol w:w="5025"/>
        <w:tblGridChange w:id="0">
          <w:tblGrid>
            <w:gridCol w:w="765"/>
            <w:gridCol w:w="3075"/>
            <w:gridCol w:w="5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TECNOLOGIAS DIGITAIS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 objetivo da linha é desenvolver modelos, técnicas e ferramentas computacionais auxiliando na resolução de problemas de natureza interdisciplinar. Especificamente, esta linha de pesquisa procura desenvolver novas tecnologias computacionais para aplicação nas áreas de educação e gestão.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Docentes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Temas de Pesquisa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Antonio Carlos Sobieranski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Processamento de Sinais, Imagens e Visão Computacional (em geral)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Reconhecimento de Padrões em Imagens e Deep Learning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ff"/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Inteligência computacional embarcada para sinais e imagens 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Inteligência artificial aplicada a imagens com enfoque em Indústria, agricultura de precisão e saúde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Cristian Cechinel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Tecnologias Educacionais,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Learning Analytics,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Aprendizado de Máquina e Educação,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Mineração de Dados Educacionais,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Recursos Educacionais Digitais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Inteligência Artificial e Educação 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Políticas Educacionais Baseadas em Dados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Eliane Pozzebon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Tecnologias Imersivas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Inteligência Artificial Aplicada na Educação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Desenvolvimento de Tecnologias Emergentes na área da saúde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26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João Bosco da Mota Alves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Internet das Coisas aplicada ao ensino/aprendizagem.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Robótica educacional.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Mineração de dados educacionais com foco em laboratórios remotos.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Laboratórios online (virtuais e remotos).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Métodos, padrões e repositórios digitais abertos de materiais educacionais.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Desenvolvimento de software educacional.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Roderval Marcelino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Internet das coisas (IoT) aplicada a agricultura/energia/conformação mecânica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IA na borda aplicada a agricultura/energia/conformação mecânica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Aquisição de dados, monitoramento e controle de variáveis aplicados a indústria 4.0 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3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Aplicações de blockchain com IoT</w:t>
            </w:r>
          </w:p>
        </w:tc>
      </w:tr>
    </w:tbl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40" w:w="11900" w:orient="portrait"/>
      <w:pgMar w:bottom="1417" w:top="1417" w:left="1701" w:right="1701" w:header="142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UNIVERSIDADE FEDERAL DE SANTA CATARINA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-309011</wp:posOffset>
          </wp:positionH>
          <wp:positionV relativeFrom="paragraph">
            <wp:posOffset>113542</wp:posOffset>
          </wp:positionV>
          <wp:extent cx="611293" cy="841446"/>
          <wp:effectExtent b="0" l="0" r="0" t="0"/>
          <wp:wrapNone/>
          <wp:docPr id="107374187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293" cy="84144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</w:rPr>
      <w:drawing>
        <wp:anchor allowOverlap="1" behindDoc="1" distB="0" distT="0" distL="0" distR="0" hidden="0" layoutInCell="1" locked="0" relativeHeight="0" simplePos="0">
          <wp:simplePos x="0" y="0"/>
          <wp:positionH relativeFrom="rightMargin">
            <wp:posOffset>70689</wp:posOffset>
          </wp:positionH>
          <wp:positionV relativeFrom="page">
            <wp:posOffset>470895</wp:posOffset>
          </wp:positionV>
          <wp:extent cx="731881" cy="729107"/>
          <wp:effectExtent b="0" l="0" r="0" t="0"/>
          <wp:wrapNone/>
          <wp:docPr descr="PPGTIC_1.png" id="1073741878" name="image1.png"/>
          <a:graphic>
            <a:graphicData uri="http://schemas.openxmlformats.org/drawingml/2006/picture">
              <pic:pic>
                <pic:nvPicPr>
                  <pic:cNvPr descr="PPGTIC_1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1881" cy="72910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18"/>
        <w:szCs w:val="18"/>
        <w:rtl w:val="0"/>
      </w:rPr>
      <w:t xml:space="preserve">CAMPUS ARARANGUÁ</w:t>
    </w:r>
  </w:p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CENTRO DE CIÊNCIAS, TECNOLOGIAS E SAÚDE</w:t>
    </w:r>
  </w:p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PROGRAMA DE PÓS-GRADUAÇÃO EM TECNOLOGIAS DA INFORMAÇÃO E COMUNICAÇÃO</w:t>
    </w:r>
  </w:p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Rodovia Governador Jorge Lacerda, Nº 3201- Jardim das Avenidas</w:t>
    </w:r>
  </w:p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CEP: 88906-072 - Araranguá - SC</w:t>
    </w:r>
  </w:p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Telefone: +55 (48) 3721- 6940</w:t>
    </w:r>
  </w:p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Sítio: </w:t>
    </w:r>
    <w:hyperlink r:id="rId3">
      <w:r w:rsidDel="00000000" w:rsidR="00000000" w:rsidRPr="00000000">
        <w:rPr>
          <w:sz w:val="18"/>
          <w:szCs w:val="18"/>
          <w:u w:val="single"/>
          <w:rtl w:val="0"/>
        </w:rPr>
        <w:t xml:space="preserve">https://ppgtic.ufsc.br/</w:t>
      </w:r>
    </w:hyperlink>
    <w:r w:rsidDel="00000000" w:rsidR="00000000" w:rsidRPr="00000000">
      <w:rPr>
        <w:sz w:val="18"/>
        <w:szCs w:val="18"/>
        <w:rtl w:val="0"/>
      </w:rPr>
      <w:t xml:space="preserve">; E-Mail: </w:t>
    </w:r>
    <w:hyperlink r:id="rId4">
      <w:r w:rsidDel="00000000" w:rsidR="00000000" w:rsidRPr="00000000">
        <w:rPr>
          <w:sz w:val="18"/>
          <w:szCs w:val="18"/>
          <w:u w:val="single"/>
          <w:rtl w:val="0"/>
        </w:rPr>
        <w:t xml:space="preserve">ppgtic@contato.ufsc.br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─"/>
      <w:lvlJc w:val="left"/>
      <w:pPr>
        <w:ind w:left="722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2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─"/>
      <w:lvlJc w:val="left"/>
      <w:pPr>
        <w:ind w:left="737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97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─"/>
      <w:lvlJc w:val="left"/>
      <w:pPr>
        <w:ind w:left="738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5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7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9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1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3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5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7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98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─"/>
      <w:lvlJc w:val="left"/>
      <w:pPr>
        <w:ind w:left="737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97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─"/>
      <w:lvlJc w:val="left"/>
      <w:pPr>
        <w:ind w:left="737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97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─"/>
      <w:lvlJc w:val="left"/>
      <w:pPr>
        <w:ind w:left="766" w:hanging="360.00000000000006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─"/>
      <w:lvlJc w:val="left"/>
      <w:pPr>
        <w:ind w:left="765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─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360" w:lineRule="auto"/>
    </w:pPr>
    <w:rPr>
      <w:rFonts w:ascii="Arial" w:cs="Arial" w:eastAsia="Arial" w:hAnsi="Arial"/>
      <w:b w:val="1"/>
      <w:bCs w:val="1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</w:pPr>
    <w:rPr>
      <w:rFonts w:ascii="Arial" w:cs="Arial" w:eastAsia="Arial" w:hAnsi="Arial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</w:pPr>
    <w:rPr>
      <w:rFonts w:ascii="Arial" w:cs="Arial" w:eastAsia="Arial" w:hAnsi="Arial"/>
      <w:b w:val="1"/>
      <w:bCs w:val="1"/>
      <w:color w:val="000000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0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rPr>
      <w:u w:val="single"/>
    </w:rPr>
  </w:style>
  <w:style w:type="table" w:styleId="TableNormal10" w:customStyle="1">
    <w:name w:val="Table Normal1"/>
    <w:uiPriority w:val="2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" w:customStyle="1">
    <w:name w:val="Corpo"/>
    <w:rPr>
      <w:rFonts w:cs="Arial Unicode MS"/>
      <w:color w:val="000000"/>
      <w:u w:color="000000"/>
      <w14:textOutline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252"/>
        <w:tab w:val="right" w:pos="8504"/>
      </w:tabs>
    </w:pPr>
    <w:rPr>
      <w:color w:val="000000"/>
      <w:u w:color="000000"/>
    </w:rPr>
  </w:style>
  <w:style w:type="character" w:styleId="Link" w:customStyle="1">
    <w:name w:val="Link"/>
    <w:rPr>
      <w:color w:val="0563c1"/>
      <w:u w:color="0563c1" w:val="single"/>
      <w14:textOutline w14:cap="rnd" w14:cmpd="sng" w14:algn="ctr">
        <w14:noFill/>
        <w14:prstDash w14:val="solid"/>
        <w14:bevel/>
      </w14:textOutline>
    </w:rPr>
  </w:style>
  <w:style w:type="character" w:styleId="Hyperlink0" w:customStyle="1">
    <w:name w:val="Hyperlink.0"/>
    <w:basedOn w:val="Link"/>
    <w:rPr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1"/>
    <w:qFormat w:val="1"/>
    <w:pPr>
      <w:ind w:left="720"/>
    </w:pPr>
    <w:rPr>
      <w:rFonts w:cs="Arial Unicode MS"/>
      <w:color w:val="000000"/>
      <w:u w:color="000000"/>
    </w:rPr>
  </w:style>
  <w:style w:type="numbering" w:styleId="EstiloImportado1" w:customStyle="1">
    <w:name w:val="Estilo Importado 1"/>
  </w:style>
  <w:style w:type="character" w:styleId="Hyperlink1" w:customStyle="1">
    <w:name w:val="Hyperlink.1"/>
    <w:basedOn w:val="Link"/>
    <w:rPr>
      <w:rFonts w:ascii="Calibri" w:cs="Calibri" w:eastAsia="Calibri" w:hAnsi="Calibri"/>
      <w:b w:val="1"/>
      <w:bCs w:val="1"/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numbering" w:styleId="EstiloImportado2" w:customStyle="1">
    <w:name w:val="Estilo Importado 2"/>
  </w:style>
  <w:style w:type="numbering" w:styleId="EstiloImportado3" w:customStyle="1">
    <w:name w:val="Estilo Importado 3"/>
  </w:style>
  <w:style w:type="numbering" w:styleId="EstiloImportado4" w:customStyle="1">
    <w:name w:val="Estilo Importado 4"/>
  </w:style>
  <w:style w:type="paragraph" w:styleId="CabealhoeRodap" w:customStyle="1">
    <w:name w:val="Cabeçalho e Rodapé"/>
    <w:pPr>
      <w:tabs>
        <w:tab w:val="right" w:pos="9020"/>
      </w:tabs>
    </w:pPr>
    <w:rPr>
      <w:rFonts w:ascii="Helvetica Neue" w:cs="Helvetica Neue" w:eastAsia="Helvetica Neue" w:hAnsi="Helvetica Neue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Cabealho">
    <w:name w:val="header"/>
    <w:pPr>
      <w:tabs>
        <w:tab w:val="center" w:pos="4252"/>
        <w:tab w:val="right" w:pos="8504"/>
      </w:tabs>
    </w:pPr>
    <w:rPr>
      <w:color w:val="000000"/>
      <w:u w:color="000000"/>
    </w:rPr>
  </w:style>
  <w:style w:type="paragraph" w:styleId="Sumrio1">
    <w:name w:val="toc 1"/>
    <w:pPr>
      <w:tabs>
        <w:tab w:val="right" w:leader="dot" w:pos="8478"/>
      </w:tabs>
    </w:pPr>
    <w:rPr>
      <w:rFonts w:ascii="Arial" w:cs="Arial" w:eastAsia="Arial" w:hAnsi="Arial"/>
      <w:color w:val="000000"/>
      <w:u w:color="000000"/>
    </w:rPr>
  </w:style>
  <w:style w:type="paragraph" w:styleId="Sumrio2">
    <w:name w:val="toc 2"/>
    <w:pPr>
      <w:tabs>
        <w:tab w:val="right" w:leader="dot" w:pos="8478"/>
      </w:tabs>
      <w:spacing w:before="160"/>
      <w:ind w:firstLine="24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Sumrio3">
    <w:name w:val="toc 3"/>
    <w:pPr>
      <w:tabs>
        <w:tab w:val="right" w:leader="dot" w:pos="8478"/>
      </w:tabs>
      <w:spacing w:before="160"/>
      <w:ind w:firstLine="120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Corpodetexto3">
    <w:name w:val="Body Text 3"/>
    <w:pPr>
      <w:spacing w:line="360" w:lineRule="auto"/>
      <w:jc w:val="both"/>
    </w:pPr>
    <w:rPr>
      <w:rFonts w:ascii="Arial" w:cs="Arial" w:eastAsia="Arial" w:hAnsi="Arial"/>
      <w:color w:val="000000"/>
      <w:sz w:val="28"/>
      <w:szCs w:val="28"/>
      <w:u w:color="000000"/>
    </w:rPr>
  </w:style>
  <w:style w:type="table" w:styleId="16" w:customStyle="1">
    <w:name w:val="16"/>
    <w:basedOn w:val="TableNormal10"/>
    <w:tblPr>
      <w:tblStyleRowBandSize w:val="1"/>
      <w:tblStyleColBandSize w:val="1"/>
    </w:tblPr>
  </w:style>
  <w:style w:type="table" w:styleId="15" w:customStyle="1">
    <w:name w:val="15"/>
    <w:basedOn w:val="TableNormal10"/>
    <w:tblPr>
      <w:tblStyleRowBandSize w:val="1"/>
      <w:tblStyleColBandSize w:val="1"/>
    </w:tblPr>
  </w:style>
  <w:style w:type="table" w:styleId="14" w:customStyle="1">
    <w:name w:val="14"/>
    <w:basedOn w:val="TableNormal10"/>
    <w:tblPr>
      <w:tblStyleRowBandSize w:val="1"/>
      <w:tblStyleColBandSize w:val="1"/>
    </w:tblPr>
  </w:style>
  <w:style w:type="table" w:styleId="13" w:customStyle="1">
    <w:name w:val="13"/>
    <w:basedOn w:val="TableNormal10"/>
    <w:tblPr>
      <w:tblStyleRowBandSize w:val="1"/>
      <w:tblStyleColBandSize w:val="1"/>
    </w:tblPr>
  </w:style>
  <w:style w:type="table" w:styleId="12" w:customStyle="1">
    <w:name w:val="12"/>
    <w:basedOn w:val="TableNormal10"/>
    <w:tblPr>
      <w:tblStyleRowBandSize w:val="1"/>
      <w:tblStyleColBandSize w:val="1"/>
    </w:tblPr>
  </w:style>
  <w:style w:type="table" w:styleId="11" w:customStyle="1">
    <w:name w:val="11"/>
    <w:basedOn w:val="TableNormal10"/>
    <w:tblPr>
      <w:tblStyleRowBandSize w:val="1"/>
      <w:tblStyleColBandSize w:val="1"/>
    </w:tblPr>
  </w:style>
  <w:style w:type="table" w:styleId="10" w:customStyle="1">
    <w:name w:val="10"/>
    <w:basedOn w:val="TableNormal10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E7AD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E7ADB"/>
    <w:rPr>
      <w:rFonts w:ascii="Tahoma" w:cs="Tahoma" w:hAnsi="Tahoma"/>
      <w:sz w:val="16"/>
      <w:szCs w:val="16"/>
      <w:lang w:eastAsia="en-US" w:val="en-US"/>
    </w:rPr>
  </w:style>
  <w:style w:type="paragraph" w:styleId="Default" w:customStyle="1">
    <w:name w:val="Default"/>
    <w:rsid w:val="00096A16"/>
    <w:pPr>
      <w:autoSpaceDE w:val="0"/>
      <w:autoSpaceDN w:val="0"/>
      <w:adjustRightInd w:val="0"/>
    </w:pPr>
    <w:rPr>
      <w:color w:val="00000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EE7F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EE7F78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E7F78"/>
    <w:rPr>
      <w:sz w:val="20"/>
      <w:szCs w:val="20"/>
      <w:lang w:eastAsia="en-US"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EE7F78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EE7F78"/>
    <w:rPr>
      <w:b w:val="1"/>
      <w:bCs w:val="1"/>
      <w:sz w:val="20"/>
      <w:szCs w:val="20"/>
      <w:lang w:eastAsia="en-US" w:val="en-US"/>
    </w:rPr>
  </w:style>
  <w:style w:type="paragraph" w:styleId="Reviso">
    <w:name w:val="Revision"/>
    <w:hidden w:val="1"/>
    <w:uiPriority w:val="99"/>
    <w:semiHidden w:val="1"/>
    <w:rsid w:val="007F15B5"/>
    <w:rPr>
      <w:lang w:eastAsia="en-US" w:val="en-US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181D7D"/>
    <w:rPr>
      <w:color w:val="605e5c"/>
      <w:shd w:color="auto" w:fill="e1dfdd" w:val="clear"/>
    </w:rPr>
  </w:style>
  <w:style w:type="paragraph" w:styleId="Corpodetexto">
    <w:name w:val="Body Text"/>
    <w:basedOn w:val="Normal"/>
    <w:link w:val="CorpodetextoChar"/>
    <w:uiPriority w:val="99"/>
    <w:unhideWhenUsed w:val="1"/>
    <w:rsid w:val="006E68C1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6E68C1"/>
    <w:rPr>
      <w:lang w:eastAsia="en-US" w:val="en-US"/>
    </w:rPr>
  </w:style>
  <w:style w:type="paragraph" w:styleId="TableParagraph" w:customStyle="1">
    <w:name w:val="Table Paragraph"/>
    <w:basedOn w:val="Normal"/>
    <w:uiPriority w:val="1"/>
    <w:qFormat w:val="1"/>
    <w:rsid w:val="00CD2388"/>
    <w:pPr>
      <w:widowControl w:val="0"/>
      <w:autoSpaceDE w:val="0"/>
      <w:autoSpaceDN w:val="0"/>
    </w:pPr>
    <w:rPr>
      <w:sz w:val="22"/>
      <w:szCs w:val="22"/>
      <w:lang w:val="pt-PT"/>
    </w:rPr>
  </w:style>
  <w:style w:type="table" w:styleId="9" w:customStyle="1">
    <w:name w:val="9"/>
    <w:basedOn w:val="TableNormal20"/>
    <w:tblPr>
      <w:tblStyleRowBandSize w:val="1"/>
      <w:tblStyleColBandSize w:val="1"/>
    </w:tblPr>
  </w:style>
  <w:style w:type="table" w:styleId="8" w:customStyle="1">
    <w:name w:val="8"/>
    <w:basedOn w:val="TableNormal20"/>
    <w:tblPr>
      <w:tblStyleRowBandSize w:val="1"/>
      <w:tblStyleColBandSize w:val="1"/>
    </w:tblPr>
  </w:style>
  <w:style w:type="table" w:styleId="7" w:customStyle="1">
    <w:name w:val="7"/>
    <w:basedOn w:val="TableNormal20"/>
    <w:tblPr>
      <w:tblStyleRowBandSize w:val="1"/>
      <w:tblStyleColBandSize w:val="1"/>
    </w:tblPr>
  </w:style>
  <w:style w:type="table" w:styleId="6" w:customStyle="1">
    <w:name w:val="6"/>
    <w:basedOn w:val="TableNormal20"/>
    <w:tblPr>
      <w:tblStyleRowBandSize w:val="1"/>
      <w:tblStyleColBandSize w:val="1"/>
    </w:tblPr>
  </w:style>
  <w:style w:type="table" w:styleId="5" w:customStyle="1">
    <w:name w:val="5"/>
    <w:basedOn w:val="TableNormal20"/>
    <w:tblPr>
      <w:tblStyleRowBandSize w:val="1"/>
      <w:tblStyleColBandSize w:val="1"/>
    </w:tblPr>
  </w:style>
  <w:style w:type="table" w:styleId="4" w:customStyle="1">
    <w:name w:val="4"/>
    <w:basedOn w:val="TableNormal20"/>
    <w:tblPr>
      <w:tblStyleRowBandSize w:val="1"/>
      <w:tblStyleColBandSize w:val="1"/>
    </w:tblPr>
  </w:style>
  <w:style w:type="table" w:styleId="3" w:customStyle="1">
    <w:name w:val="3"/>
    <w:basedOn w:val="TableNormal20"/>
    <w:tblPr>
      <w:tblStyleRowBandSize w:val="1"/>
      <w:tblStyleColBandSize w:val="1"/>
    </w:tblPr>
  </w:style>
  <w:style w:type="table" w:styleId="2" w:customStyle="1">
    <w:name w:val="2"/>
    <w:basedOn w:val="TableNormal20"/>
    <w:tblPr>
      <w:tblStyleRowBandSize w:val="1"/>
      <w:tblStyleColBandSize w:val="1"/>
    </w:tblPr>
  </w:style>
  <w:style w:type="table" w:styleId="1" w:customStyle="1">
    <w:name w:val="1"/>
    <w:basedOn w:val="TableNormal20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B6255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pgtic.ufsc.br/linhas-de-pesquisa/" TargetMode="External"/><Relationship Id="rId8" Type="http://schemas.openxmlformats.org/officeDocument/2006/relationships/hyperlink" Target="https://ppgtic.ufsc.br/linhas-de-pesquis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s://ppgtic.ufsc.br/" TargetMode="External"/><Relationship Id="rId4" Type="http://schemas.openxmlformats.org/officeDocument/2006/relationships/hyperlink" Target="mailto:ppgtic@contato.ufsc.br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zObV6GGIQMrBy8IK7NCQD5mH1Q==">CgMxLjA4AGohChRzdWdnZXN0LmtocXhtbWNyc2ZjZRIJQW5vbnltb3VzaiEKFHN1Z2dlc3QuZW56aTY5Z2JvZHRvEglBbm9ueW1vdXNqJQoUc3VnZ2VzdC5xaWU3cG5mMjJhaXoSDVBhdWxvIEVzdGV2ZXNqJQoUc3VnZ2VzdC5pMDN0MHBydWRmeHgSDVBhdWxvIEVzdGV2ZXNqIQoUc3VnZ2VzdC5haDNlN3dyMTNtM3cSCUFub255bW91c2onChRzdWdnZXN0LnMxOHM2Z2xwYjVveBIPRWxpYW5lIFBvenplYm9uaiEKFHN1Z2dlc3QucDJsZmxpYjJocjM5EglBbm9ueW1vdXNqJQoUc3VnZ2VzdC5lam9xcmdxNXpzNGUSDVBhdWxvIEVzdGV2ZXNqIQoUc3VnZ2VzdC41azlzZjhkczMwOTASCUFub255bW91c2onChRzdWdnZXN0LmZwd3YwMDVzaHl1dRIPRWxpYW5lIFBvenplYm9uaicKFHN1Z2dlc3QueTl5dTBnMmVyejJ1Eg9FbGlhbmUgUG96emVib25qIQoUc3VnZ2VzdC5uOXU4NmJwMGNmOGQSCUFub255bW91c2ohChRzdWdnZXN0LjFkYWJncXBiYmF6cRIJQW5vbnltb3VzaicKFHN1Z2dlc3QudWdjdDJsaHp4N3A2Eg9FbGlhbmUgUG96emVib25qJQoUc3VnZ2VzdC4ybGdubDd5N3pyeDQSDVBhdWxvIEVzdGV2ZXNqJwoUc3VnZ2VzdC54bnpnMGprOGM2cWESD0VsaWFuZSBQb3p6ZWJvbmolChRzdWdnZXN0Ljdia2Nub3BvdjRzehINUGF1bG8gRXN0ZXZlc2onChRzdWdnZXN0LnljczZkNnVsNXBsZRIPRWxpYW5lIFBvenplYm9uaicKFHN1Z2dlc3QueTN5MDJjOHQzZzAzEg9FbGlhbmUgUG96emVib25qJwoUc3VnZ2VzdC41d2Fqc3AxaHhwbzQSD0VsaWFuZSBQb3p6ZWJvbmohChRzdWdnZXN0LjR0cHltMnNwbWd6ahIJQW5vbnltb3VzaicKFHN1Z2dlc3QudGo4MnZ3cG1pZDJvEg9FbGlhbmUgUG96emVib25qJwoUc3VnZ2VzdC5vOGdkeHNsMW0wODgSD0VsaWFuZSBQb3p6ZWJvbmohChRzdWdnZXN0LjZwangyZmwwejQxdhIJQW5vbnltb3VzaiEKFHN1Z2dlc3QuYnV4anNvOXY1Yng0EglBbm9ueW1vdXNyITF1WlBBNER2b0xMaXRGd1FlclpLMl9qcnVNQUdEVll4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2023-09-26T21:32:00Z</dcterms:created>
  <dc:creator>juarez</dc:creator>
</cp:coreProperties>
</file>