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bookmarkStart w:id="0" w:name="_GoBack"/>
      <w:bookmarkEnd w:id="0"/>
      <w:r w:rsidRPr="007D79C1">
        <w:rPr>
          <w:rFonts w:eastAsia="Cambria"/>
          <w:spacing w:val="-4"/>
          <w:sz w:val="24"/>
          <w:szCs w:val="24"/>
        </w:rPr>
        <w:t>Universidade Federal de Santa Catarina</w:t>
      </w:r>
    </w:p>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 xml:space="preserve">Centro </w:t>
      </w:r>
      <w:r w:rsidR="00047FF8" w:rsidRPr="007D79C1">
        <w:rPr>
          <w:rFonts w:eastAsia="Cambria"/>
          <w:spacing w:val="-4"/>
          <w:sz w:val="24"/>
          <w:szCs w:val="24"/>
        </w:rPr>
        <w:t xml:space="preserve">de </w:t>
      </w:r>
      <w:r w:rsidRPr="007D79C1">
        <w:rPr>
          <w:rFonts w:eastAsia="Cambria"/>
          <w:spacing w:val="-4"/>
          <w:sz w:val="24"/>
          <w:szCs w:val="24"/>
        </w:rPr>
        <w:t>Araranguá</w:t>
      </w:r>
    </w:p>
    <w:p w:rsidR="0014765E" w:rsidRPr="00ED019F" w:rsidRDefault="0014765E" w:rsidP="002B4E00">
      <w:pPr>
        <w:spacing w:before="7"/>
        <w:ind w:left="129" w:right="78"/>
        <w:jc w:val="center"/>
        <w:rPr>
          <w:rFonts w:eastAsia="Cambria"/>
          <w:spacing w:val="-4"/>
          <w:sz w:val="24"/>
          <w:szCs w:val="24"/>
        </w:rPr>
      </w:pPr>
      <w:r w:rsidRPr="00ED019F">
        <w:rPr>
          <w:rFonts w:eastAsia="Cambria"/>
          <w:sz w:val="24"/>
          <w:szCs w:val="24"/>
        </w:rPr>
        <w:t>Pro</w:t>
      </w:r>
      <w:r w:rsidRPr="00ED019F">
        <w:rPr>
          <w:rFonts w:eastAsia="Cambria"/>
          <w:spacing w:val="3"/>
          <w:sz w:val="24"/>
          <w:szCs w:val="24"/>
        </w:rPr>
        <w:t>g</w:t>
      </w:r>
      <w:r w:rsidRPr="00ED019F">
        <w:rPr>
          <w:rFonts w:eastAsia="Cambria"/>
          <w:sz w:val="24"/>
          <w:szCs w:val="24"/>
        </w:rPr>
        <w:t>r</w:t>
      </w:r>
      <w:r w:rsidRPr="00ED019F">
        <w:rPr>
          <w:rFonts w:eastAsia="Cambria"/>
          <w:spacing w:val="-1"/>
          <w:sz w:val="24"/>
          <w:szCs w:val="24"/>
        </w:rPr>
        <w:t>a</w:t>
      </w:r>
      <w:r w:rsidRPr="00ED019F">
        <w:rPr>
          <w:rFonts w:eastAsia="Cambria"/>
          <w:spacing w:val="4"/>
          <w:sz w:val="24"/>
          <w:szCs w:val="24"/>
        </w:rPr>
        <w:t>m</w:t>
      </w:r>
      <w:r w:rsidRPr="00ED019F">
        <w:rPr>
          <w:rFonts w:eastAsia="Cambria"/>
          <w:sz w:val="24"/>
          <w:szCs w:val="24"/>
        </w:rPr>
        <w:t>a</w:t>
      </w:r>
      <w:r w:rsidRPr="00ED019F">
        <w:rPr>
          <w:rFonts w:eastAsia="Cambria"/>
          <w:spacing w:val="-13"/>
          <w:sz w:val="24"/>
          <w:szCs w:val="24"/>
        </w:rPr>
        <w:t xml:space="preserve"> </w:t>
      </w:r>
      <w:r w:rsidRPr="00ED019F">
        <w:rPr>
          <w:rFonts w:eastAsia="Cambria"/>
          <w:sz w:val="24"/>
          <w:szCs w:val="24"/>
        </w:rPr>
        <w:t>de</w:t>
      </w:r>
      <w:r w:rsidRPr="00ED019F">
        <w:rPr>
          <w:rFonts w:eastAsia="Cambria"/>
          <w:spacing w:val="-4"/>
          <w:sz w:val="24"/>
          <w:szCs w:val="24"/>
        </w:rPr>
        <w:t xml:space="preserve"> </w:t>
      </w:r>
      <w:r w:rsidRPr="00ED019F">
        <w:rPr>
          <w:rFonts w:eastAsia="Cambria"/>
          <w:sz w:val="24"/>
          <w:szCs w:val="24"/>
        </w:rPr>
        <w:t>Pó</w:t>
      </w:r>
      <w:r w:rsidRPr="00ED019F">
        <w:rPr>
          <w:rFonts w:eastAsia="Cambria"/>
          <w:spacing w:val="7"/>
          <w:sz w:val="24"/>
          <w:szCs w:val="24"/>
        </w:rPr>
        <w:t>s</w:t>
      </w:r>
      <w:r w:rsidRPr="00ED019F">
        <w:rPr>
          <w:rFonts w:eastAsia="Cambria"/>
          <w:spacing w:val="-1"/>
          <w:sz w:val="24"/>
          <w:szCs w:val="24"/>
        </w:rPr>
        <w:t>-</w:t>
      </w:r>
      <w:r w:rsidRPr="00ED019F">
        <w:rPr>
          <w:rFonts w:eastAsia="Cambria"/>
          <w:spacing w:val="-2"/>
          <w:sz w:val="24"/>
          <w:szCs w:val="24"/>
        </w:rPr>
        <w:t>G</w:t>
      </w:r>
      <w:r w:rsidRPr="00ED019F">
        <w:rPr>
          <w:rFonts w:eastAsia="Cambria"/>
          <w:spacing w:val="5"/>
          <w:sz w:val="24"/>
          <w:szCs w:val="24"/>
        </w:rPr>
        <w:t>r</w:t>
      </w:r>
      <w:r w:rsidRPr="00ED019F">
        <w:rPr>
          <w:rFonts w:eastAsia="Cambria"/>
          <w:spacing w:val="-2"/>
          <w:sz w:val="24"/>
          <w:szCs w:val="24"/>
        </w:rPr>
        <w:t>a</w:t>
      </w:r>
      <w:r w:rsidRPr="00ED019F">
        <w:rPr>
          <w:rFonts w:eastAsia="Cambria"/>
          <w:sz w:val="24"/>
          <w:szCs w:val="24"/>
        </w:rPr>
        <w:t>d</w:t>
      </w:r>
      <w:r w:rsidRPr="00ED019F">
        <w:rPr>
          <w:rFonts w:eastAsia="Cambria"/>
          <w:spacing w:val="4"/>
          <w:sz w:val="24"/>
          <w:szCs w:val="24"/>
        </w:rPr>
        <w:t>u</w:t>
      </w:r>
      <w:r w:rsidRPr="00ED019F">
        <w:rPr>
          <w:rFonts w:eastAsia="Cambria"/>
          <w:spacing w:val="-2"/>
          <w:sz w:val="24"/>
          <w:szCs w:val="24"/>
        </w:rPr>
        <w:t>a</w:t>
      </w:r>
      <w:r w:rsidRPr="00ED019F">
        <w:rPr>
          <w:rFonts w:eastAsia="Cambria"/>
          <w:spacing w:val="2"/>
          <w:sz w:val="24"/>
          <w:szCs w:val="24"/>
        </w:rPr>
        <w:t>ç</w:t>
      </w:r>
      <w:r w:rsidRPr="00ED019F">
        <w:rPr>
          <w:rFonts w:eastAsia="Cambria"/>
          <w:spacing w:val="-2"/>
          <w:sz w:val="24"/>
          <w:szCs w:val="24"/>
        </w:rPr>
        <w:t>ã</w:t>
      </w:r>
      <w:r w:rsidRPr="00ED019F">
        <w:rPr>
          <w:rFonts w:eastAsia="Cambria"/>
          <w:sz w:val="24"/>
          <w:szCs w:val="24"/>
        </w:rPr>
        <w:t>o</w:t>
      </w:r>
      <w:r w:rsidRPr="00ED019F">
        <w:rPr>
          <w:rFonts w:eastAsia="Cambria"/>
          <w:spacing w:val="-16"/>
          <w:sz w:val="24"/>
          <w:szCs w:val="24"/>
        </w:rPr>
        <w:t xml:space="preserve"> </w:t>
      </w:r>
      <w:r w:rsidRPr="00ED019F">
        <w:rPr>
          <w:rFonts w:eastAsia="Cambria"/>
          <w:spacing w:val="3"/>
          <w:sz w:val="24"/>
          <w:szCs w:val="24"/>
        </w:rPr>
        <w:t>e</w:t>
      </w:r>
      <w:r w:rsidRPr="00ED019F">
        <w:rPr>
          <w:rFonts w:eastAsia="Cambria"/>
          <w:sz w:val="24"/>
          <w:szCs w:val="24"/>
        </w:rPr>
        <w:t>m</w:t>
      </w:r>
      <w:r w:rsidRPr="00ED019F">
        <w:rPr>
          <w:rFonts w:eastAsia="Cambria"/>
          <w:spacing w:val="-4"/>
          <w:sz w:val="24"/>
          <w:szCs w:val="24"/>
        </w:rPr>
        <w:t xml:space="preserve"> Tecnologias da Informação e Comunicação</w:t>
      </w:r>
    </w:p>
    <w:p w:rsidR="0056492F" w:rsidRPr="00ED019F" w:rsidRDefault="0056492F" w:rsidP="005D62BD">
      <w:pPr>
        <w:spacing w:after="120"/>
        <w:jc w:val="both"/>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1435B6" w:rsidRDefault="0056492F" w:rsidP="00B7745C">
      <w:pPr>
        <w:spacing w:after="120"/>
        <w:rPr>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1435B6">
        <w:rPr>
          <w:sz w:val="24"/>
          <w:szCs w:val="24"/>
        </w:rPr>
        <w:t xml:space="preserve">Aline </w:t>
      </w:r>
      <w:proofErr w:type="spellStart"/>
      <w:r w:rsidR="001435B6">
        <w:rPr>
          <w:sz w:val="24"/>
          <w:szCs w:val="24"/>
        </w:rPr>
        <w:t>Coêlho</w:t>
      </w:r>
      <w:proofErr w:type="spellEnd"/>
      <w:r w:rsidR="001435B6">
        <w:rPr>
          <w:sz w:val="24"/>
          <w:szCs w:val="24"/>
        </w:rPr>
        <w:t xml:space="preserve"> dos Santos </w:t>
      </w:r>
    </w:p>
    <w:p w:rsidR="00FE7AC7" w:rsidRPr="003265E7" w:rsidRDefault="0056492F" w:rsidP="00B7745C">
      <w:pPr>
        <w:spacing w:after="120"/>
        <w:rPr>
          <w:sz w:val="24"/>
          <w:szCs w:val="24"/>
        </w:rPr>
      </w:pPr>
      <w:r w:rsidRPr="00E938AE">
        <w:rPr>
          <w:b/>
          <w:sz w:val="24"/>
          <w:szCs w:val="24"/>
        </w:rPr>
        <w:t>Orientador</w:t>
      </w:r>
      <w:r w:rsidR="00FE7AC7" w:rsidRPr="00E938AE">
        <w:rPr>
          <w:b/>
          <w:sz w:val="24"/>
          <w:szCs w:val="24"/>
        </w:rPr>
        <w:t xml:space="preserve"> (a)</w:t>
      </w:r>
      <w:r w:rsidRPr="00E938AE">
        <w:rPr>
          <w:b/>
          <w:sz w:val="24"/>
          <w:szCs w:val="24"/>
        </w:rPr>
        <w:t>:</w:t>
      </w:r>
      <w:r w:rsidR="001435B6">
        <w:rPr>
          <w:sz w:val="24"/>
          <w:szCs w:val="24"/>
        </w:rPr>
        <w:t xml:space="preserve"> Juarez Bento da Silva </w:t>
      </w:r>
    </w:p>
    <w:p w:rsidR="0056492F" w:rsidRDefault="00894882" w:rsidP="00C922FB">
      <w:pPr>
        <w:spacing w:after="120"/>
        <w:rPr>
          <w:sz w:val="24"/>
          <w:szCs w:val="24"/>
        </w:rPr>
      </w:pPr>
      <w:r w:rsidRPr="00E938AE">
        <w:rPr>
          <w:b/>
          <w:sz w:val="24"/>
          <w:szCs w:val="24"/>
        </w:rPr>
        <w:t>Coorientador</w:t>
      </w:r>
      <w:r w:rsidR="00FE7AC7" w:rsidRPr="00E938AE">
        <w:rPr>
          <w:b/>
          <w:sz w:val="24"/>
          <w:szCs w:val="24"/>
        </w:rPr>
        <w:t xml:space="preserve"> (a)</w:t>
      </w:r>
      <w:r w:rsidR="0056492F" w:rsidRPr="00E938AE">
        <w:rPr>
          <w:b/>
          <w:sz w:val="24"/>
          <w:szCs w:val="24"/>
        </w:rPr>
        <w:t>:</w:t>
      </w:r>
      <w:r w:rsidR="0056492F" w:rsidRPr="003265E7">
        <w:rPr>
          <w:sz w:val="24"/>
          <w:szCs w:val="24"/>
        </w:rPr>
        <w:t xml:space="preserve"> </w:t>
      </w:r>
      <w:r w:rsidR="001435B6">
        <w:rPr>
          <w:sz w:val="24"/>
          <w:szCs w:val="24"/>
        </w:rPr>
        <w:t xml:space="preserve">Não há. </w:t>
      </w:r>
    </w:p>
    <w:p w:rsidR="003265E7" w:rsidRDefault="003265E7" w:rsidP="00B7745C">
      <w:pPr>
        <w:spacing w:after="120"/>
        <w:rPr>
          <w:sz w:val="24"/>
          <w:szCs w:val="24"/>
        </w:rPr>
      </w:pPr>
      <w:r w:rsidRPr="003265E7">
        <w:rPr>
          <w:b/>
          <w:sz w:val="24"/>
          <w:szCs w:val="24"/>
        </w:rPr>
        <w:t>Data:</w:t>
      </w:r>
      <w:r w:rsidR="001435B6">
        <w:rPr>
          <w:b/>
          <w:sz w:val="24"/>
          <w:szCs w:val="24"/>
        </w:rPr>
        <w:t xml:space="preserve"> </w:t>
      </w:r>
      <w:r w:rsidR="001435B6">
        <w:rPr>
          <w:sz w:val="24"/>
          <w:szCs w:val="24"/>
        </w:rPr>
        <w:t>23 de fevereiro de 2018</w:t>
      </w:r>
      <w:r w:rsidR="00FE7AC7">
        <w:rPr>
          <w:b/>
          <w:sz w:val="24"/>
          <w:szCs w:val="24"/>
        </w:rPr>
        <w:t xml:space="preserve">   </w:t>
      </w:r>
      <w:r w:rsidR="00E938AE">
        <w:rPr>
          <w:b/>
          <w:sz w:val="24"/>
          <w:szCs w:val="24"/>
        </w:rPr>
        <w:t xml:space="preserve">  </w:t>
      </w:r>
      <w:r w:rsidR="00FE7AC7" w:rsidRPr="00E938AE">
        <w:rPr>
          <w:b/>
          <w:sz w:val="24"/>
          <w:szCs w:val="24"/>
        </w:rPr>
        <w:t>Horário:</w:t>
      </w:r>
      <w:r w:rsidR="001435B6">
        <w:rPr>
          <w:sz w:val="24"/>
          <w:szCs w:val="24"/>
        </w:rPr>
        <w:t xml:space="preserve"> </w:t>
      </w:r>
      <w:r w:rsidR="00F60D7F">
        <w:rPr>
          <w:sz w:val="24"/>
          <w:szCs w:val="24"/>
        </w:rPr>
        <w:t>14:00</w:t>
      </w:r>
      <w:r w:rsidR="00FE7AC7">
        <w:rPr>
          <w:sz w:val="24"/>
          <w:szCs w:val="24"/>
        </w:rPr>
        <w:t xml:space="preserve">  </w:t>
      </w:r>
      <w:r w:rsidR="00E938AE">
        <w:rPr>
          <w:sz w:val="24"/>
          <w:szCs w:val="24"/>
        </w:rPr>
        <w:t xml:space="preserve">  </w:t>
      </w:r>
      <w:r w:rsidR="00E938AE" w:rsidRPr="00E938AE">
        <w:rPr>
          <w:b/>
          <w:sz w:val="24"/>
          <w:szCs w:val="24"/>
        </w:rPr>
        <w:t>L</w:t>
      </w:r>
      <w:r w:rsidR="00FE7AC7" w:rsidRPr="00E938AE">
        <w:rPr>
          <w:b/>
          <w:sz w:val="24"/>
          <w:szCs w:val="24"/>
        </w:rPr>
        <w:t>ocal:</w:t>
      </w:r>
      <w:r w:rsidR="00FE7AC7">
        <w:rPr>
          <w:sz w:val="24"/>
          <w:szCs w:val="24"/>
        </w:rPr>
        <w:t xml:space="preserve"> </w:t>
      </w:r>
      <w:r w:rsidR="00172315">
        <w:rPr>
          <w:sz w:val="24"/>
          <w:szCs w:val="24"/>
        </w:rPr>
        <w:t>UFSC</w:t>
      </w:r>
      <w:r w:rsidR="00E938AE">
        <w:rPr>
          <w:sz w:val="24"/>
          <w:szCs w:val="24"/>
        </w:rPr>
        <w:t xml:space="preserve"> – Mato Alto/Araranguá</w:t>
      </w:r>
      <w:r w:rsidR="00FE7AC7">
        <w:rPr>
          <w:sz w:val="24"/>
          <w:szCs w:val="24"/>
        </w:rPr>
        <w:t xml:space="preserve">     </w:t>
      </w:r>
      <w:r w:rsidR="00FE7AC7" w:rsidRPr="00E938AE">
        <w:rPr>
          <w:b/>
          <w:sz w:val="24"/>
          <w:szCs w:val="24"/>
        </w:rPr>
        <w:t>Sala:</w:t>
      </w:r>
      <w:r w:rsidR="00FE7AC7">
        <w:rPr>
          <w:sz w:val="24"/>
          <w:szCs w:val="24"/>
        </w:rPr>
        <w:t xml:space="preserve"> </w:t>
      </w:r>
      <w:r w:rsidR="00E938AE">
        <w:rPr>
          <w:sz w:val="24"/>
          <w:szCs w:val="24"/>
        </w:rPr>
        <w:t>201</w:t>
      </w:r>
    </w:p>
    <w:p w:rsidR="0056492F" w:rsidRPr="00E938AE" w:rsidRDefault="00E938AE" w:rsidP="00E938AE">
      <w:pPr>
        <w:spacing w:after="120"/>
        <w:jc w:val="both"/>
        <w:rPr>
          <w:sz w:val="24"/>
          <w:szCs w:val="24"/>
          <w:shd w:val="clear" w:color="auto" w:fill="FFFFFF"/>
        </w:rPr>
      </w:pPr>
      <w:r>
        <w:rPr>
          <w:b/>
          <w:sz w:val="24"/>
          <w:szCs w:val="24"/>
          <w:shd w:val="clear" w:color="auto" w:fill="FFFFFF"/>
        </w:rPr>
        <w:t>T</w:t>
      </w:r>
      <w:r w:rsidR="0056492F" w:rsidRPr="003265E7">
        <w:rPr>
          <w:b/>
          <w:sz w:val="24"/>
          <w:szCs w:val="24"/>
          <w:shd w:val="clear" w:color="auto" w:fill="FFFFFF"/>
        </w:rPr>
        <w:t xml:space="preserve">ítulo: </w:t>
      </w:r>
      <w:r w:rsidR="00613E5A" w:rsidRPr="00613E5A">
        <w:rPr>
          <w:sz w:val="24"/>
          <w:szCs w:val="24"/>
          <w:shd w:val="clear" w:color="auto" w:fill="FFFFFF"/>
        </w:rPr>
        <w:t>INTEGRAÇÃO DE TECNOLOGIA NA EDUCAÇÃO BÁSICA: UM ESTUDO DE CASO NAS AULAS DE BIOLOGIA UTILIZANDO LABORATÓRIOS ON-LINE</w:t>
      </w:r>
    </w:p>
    <w:p w:rsidR="00E938AE" w:rsidRDefault="00E938AE" w:rsidP="00C922FB">
      <w:pPr>
        <w:pStyle w:val="PargrafodaLista1"/>
        <w:ind w:firstLine="0"/>
        <w:rPr>
          <w:b/>
          <w:sz w:val="24"/>
          <w:shd w:val="clear" w:color="auto" w:fill="FFFFFF"/>
        </w:rPr>
      </w:pPr>
    </w:p>
    <w:p w:rsidR="005D5D75" w:rsidRDefault="0056492F" w:rsidP="00C922FB">
      <w:pPr>
        <w:pStyle w:val="PargrafodaLista1"/>
        <w:ind w:firstLine="0"/>
        <w:rPr>
          <w:b/>
          <w:sz w:val="24"/>
          <w:shd w:val="clear" w:color="auto" w:fill="FFFFFF"/>
        </w:rPr>
      </w:pPr>
      <w:r w:rsidRPr="003265E7">
        <w:rPr>
          <w:b/>
          <w:sz w:val="24"/>
          <w:shd w:val="clear" w:color="auto" w:fill="FFFFFF"/>
        </w:rPr>
        <w:t>Resumo:</w:t>
      </w:r>
    </w:p>
    <w:p w:rsidR="005D5D75" w:rsidRDefault="005D5D75" w:rsidP="00C922FB">
      <w:pPr>
        <w:pStyle w:val="PargrafodaLista1"/>
        <w:ind w:firstLine="0"/>
        <w:rPr>
          <w:b/>
          <w:sz w:val="24"/>
        </w:rPr>
      </w:pPr>
    </w:p>
    <w:p w:rsidR="00613E5A" w:rsidRPr="00613E5A" w:rsidRDefault="00613E5A" w:rsidP="00613E5A">
      <w:pPr>
        <w:spacing w:after="120"/>
        <w:jc w:val="both"/>
        <w:rPr>
          <w:sz w:val="24"/>
          <w:szCs w:val="24"/>
          <w:lang w:eastAsia="en-US"/>
        </w:rPr>
      </w:pPr>
      <w:r w:rsidRPr="00613E5A">
        <w:rPr>
          <w:sz w:val="24"/>
          <w:szCs w:val="24"/>
          <w:lang w:eastAsia="en-US"/>
        </w:rPr>
        <w:t>O uso de Tecnologias Educacionais no processo de ensino e aprendizagem tem proporcionado ao aluno novas formas de aprender. No ensino de ciências e biologia, por exemplo, estas ferramentas têm sido responsáveis inclusive pela possibilidade da oferta de aulas experimentais em escolas que não provêm de equipamentos físicos de laboratório.   Dentro desse cenário, este estudo investigou sobre o uso de Laboratórios On-line (remoto e virtual) integrados à Sequências Didáticas Investigativas (SDI), disponibilizados em Ambiente Virtual de Aprendizagem (AVA), em aulas de biologia para o ensino médio. Procurou-se, dessa forma, identificar as percepções apresentadas pelos alunos após o uso da ferramenta proposta, respondendo a seguinte questão: “Como o uso de laboratórios virtuais e remotos, integrados às sequências didáticas investigativas, podem aumentar a qualidade no ensino de Biologia na formação básica de alunos do Ensino Médio, melhorando sua motivação e interesse dentro do contexto escolar?”. Para isso, foram construídas três SDI: (i) pigmentação foliar; (</w:t>
      </w:r>
      <w:proofErr w:type="spellStart"/>
      <w:r w:rsidRPr="00613E5A">
        <w:rPr>
          <w:sz w:val="24"/>
          <w:szCs w:val="24"/>
          <w:lang w:eastAsia="en-US"/>
        </w:rPr>
        <w:t>ii</w:t>
      </w:r>
      <w:proofErr w:type="spellEnd"/>
      <w:r w:rsidRPr="00613E5A">
        <w:rPr>
          <w:sz w:val="24"/>
          <w:szCs w:val="24"/>
          <w:lang w:eastAsia="en-US"/>
        </w:rPr>
        <w:t>) impulsos nervosos; e (</w:t>
      </w:r>
      <w:proofErr w:type="spellStart"/>
      <w:r w:rsidRPr="00613E5A">
        <w:rPr>
          <w:sz w:val="24"/>
          <w:szCs w:val="24"/>
          <w:lang w:eastAsia="en-US"/>
        </w:rPr>
        <w:t>iii</w:t>
      </w:r>
      <w:proofErr w:type="spellEnd"/>
      <w:r w:rsidRPr="00613E5A">
        <w:rPr>
          <w:sz w:val="24"/>
          <w:szCs w:val="24"/>
          <w:lang w:eastAsia="en-US"/>
        </w:rPr>
        <w:t xml:space="preserve">) histologia vegetal. Logo, realizou-se as aplicações da ferramenta nas aulas de biologia e efetuou-se a coleta de dados por meio de questionários que versavam sobre as percepções apresentadas pelos alunos quanto à usabilidade, aprendizagem, satisfação e utilidade, e que também exploravam suas opiniões sobre o uso da tecnologia educacional em questão. O tratamento dos dados deu-se por meio de escala </w:t>
      </w:r>
      <w:proofErr w:type="spellStart"/>
      <w:r w:rsidRPr="00613E5A">
        <w:rPr>
          <w:sz w:val="24"/>
          <w:szCs w:val="24"/>
          <w:lang w:eastAsia="en-US"/>
        </w:rPr>
        <w:t>likert</w:t>
      </w:r>
      <w:proofErr w:type="spellEnd"/>
      <w:r w:rsidRPr="00613E5A">
        <w:rPr>
          <w:sz w:val="24"/>
          <w:szCs w:val="24"/>
          <w:lang w:eastAsia="en-US"/>
        </w:rPr>
        <w:t xml:space="preserve"> de cinco pontos para as questões objetivas e análise SWOT das questões discursivas. Nesse sentido, foram realizadas 5 aplicações, totalizando uma amostra de 116 estudantes. Os resultados obtidos apontaram muitas opiniões favoráveis ao uso da ferramenta nas aulas de Biologia, identificando uma tendência expressivamente positiva em relação a todas as percepções analisadas. Identificou-se percentuais de concordância muito superiores aos de discordância, compreendendo os benefícios gerados pelo uso de laboratórios on-line integrados à SDI no cotidiano escolar dos </w:t>
      </w:r>
      <w:proofErr w:type="spellStart"/>
      <w:r w:rsidRPr="00613E5A">
        <w:rPr>
          <w:sz w:val="24"/>
          <w:szCs w:val="24"/>
          <w:lang w:eastAsia="en-US"/>
        </w:rPr>
        <w:t>alunos.Dessa</w:t>
      </w:r>
      <w:proofErr w:type="spellEnd"/>
      <w:r w:rsidRPr="00613E5A">
        <w:rPr>
          <w:sz w:val="24"/>
          <w:szCs w:val="24"/>
          <w:lang w:eastAsia="en-US"/>
        </w:rPr>
        <w:t xml:space="preserve"> forma, esse estudo propõem que a proposta investigativa utilizada na metodologia de ensino juntamente com o uso de laboratórios on-line  integrados em AVA contribui para a motivação do estudo da biologia e proporciona melhor compreensão dos conteúdos, tornando a aprendizagem mais eficaz e significativa.</w:t>
      </w:r>
    </w:p>
    <w:p w:rsidR="007D79C1" w:rsidRDefault="00613E5A" w:rsidP="00613E5A">
      <w:pPr>
        <w:spacing w:after="120"/>
        <w:jc w:val="both"/>
        <w:rPr>
          <w:sz w:val="24"/>
          <w:szCs w:val="24"/>
        </w:rPr>
      </w:pPr>
      <w:r w:rsidRPr="00613E5A">
        <w:rPr>
          <w:b/>
          <w:sz w:val="24"/>
          <w:szCs w:val="24"/>
          <w:lang w:eastAsia="en-US"/>
        </w:rPr>
        <w:lastRenderedPageBreak/>
        <w:t>Palavras-chave:</w:t>
      </w:r>
      <w:r w:rsidRPr="00613E5A">
        <w:rPr>
          <w:sz w:val="24"/>
          <w:szCs w:val="24"/>
          <w:lang w:eastAsia="en-US"/>
        </w:rPr>
        <w:t xml:space="preserve"> Laboratórios On-line. Ensino de Ciências. Integração da Tecnologia na Educação.</w:t>
      </w: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827"/>
        <w:gridCol w:w="1276"/>
      </w:tblGrid>
      <w:tr w:rsidR="004E223F" w:rsidRPr="004E223F" w:rsidTr="004E223F">
        <w:trPr>
          <w:trHeight w:val="110"/>
        </w:trPr>
        <w:tc>
          <w:tcPr>
            <w:tcW w:w="4928" w:type="dxa"/>
          </w:tcPr>
          <w:p w:rsidR="004E223F" w:rsidRPr="004E223F" w:rsidRDefault="004E223F">
            <w:pPr>
              <w:pStyle w:val="Default"/>
              <w:rPr>
                <w:rFonts w:ascii="Times New Roman" w:hAnsi="Times New Roman" w:cs="Times New Roman"/>
                <w:b/>
              </w:rPr>
            </w:pPr>
            <w:r w:rsidRPr="004E223F">
              <w:rPr>
                <w:rFonts w:ascii="Times New Roman" w:hAnsi="Times New Roman" w:cs="Times New Roman"/>
                <w:b/>
                <w:bCs/>
              </w:rPr>
              <w:t>Dados</w:t>
            </w:r>
          </w:p>
        </w:tc>
        <w:tc>
          <w:tcPr>
            <w:tcW w:w="3827" w:type="dxa"/>
          </w:tcPr>
          <w:p w:rsidR="004E223F" w:rsidRPr="004E223F" w:rsidRDefault="004E223F">
            <w:pPr>
              <w:pStyle w:val="Default"/>
              <w:rPr>
                <w:rFonts w:ascii="Times New Roman" w:hAnsi="Times New Roman" w:cs="Times New Roman"/>
                <w:b/>
              </w:rPr>
            </w:pPr>
            <w:r w:rsidRPr="004E223F">
              <w:rPr>
                <w:rFonts w:ascii="Times New Roman" w:hAnsi="Times New Roman" w:cs="Times New Roman"/>
                <w:b/>
              </w:rPr>
              <w:t xml:space="preserve">Nome </w:t>
            </w:r>
          </w:p>
        </w:tc>
        <w:tc>
          <w:tcPr>
            <w:tcW w:w="1276" w:type="dxa"/>
          </w:tcPr>
          <w:p w:rsidR="004E223F" w:rsidRPr="004E223F" w:rsidRDefault="004E223F">
            <w:pPr>
              <w:pStyle w:val="Default"/>
              <w:rPr>
                <w:rFonts w:ascii="Times New Roman" w:hAnsi="Times New Roman" w:cs="Times New Roman"/>
                <w:b/>
              </w:rPr>
            </w:pPr>
            <w:r w:rsidRPr="004E223F">
              <w:rPr>
                <w:rFonts w:ascii="Times New Roman" w:hAnsi="Times New Roman" w:cs="Times New Roman"/>
                <w:b/>
              </w:rPr>
              <w:t xml:space="preserve">Titulação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Orientador(a)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Juarez Bento da Silva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Membro(a) do PPGTIC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João Bosco da Mota Alves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Membro(a) externo(a) ao PPGTIC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Miriam da Conceição Martins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Doutora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Membro(a) do PPGTIC ou externo(a)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Giovani Mendonça </w:t>
            </w:r>
            <w:proofErr w:type="spellStart"/>
            <w:r w:rsidRPr="004E223F">
              <w:rPr>
                <w:rFonts w:ascii="Times New Roman" w:hAnsi="Times New Roman" w:cs="Times New Roman"/>
              </w:rPr>
              <w:t>Lunardi</w:t>
            </w:r>
            <w:proofErr w:type="spellEnd"/>
            <w:r w:rsidRPr="004E223F">
              <w:rPr>
                <w:rFonts w:ascii="Times New Roman" w:hAnsi="Times New Roman" w:cs="Times New Roman"/>
              </w:rPr>
              <w:t xml:space="preserve">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Suplente (do PPGTIC)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Andréa Cristina </w:t>
            </w:r>
            <w:proofErr w:type="spellStart"/>
            <w:r w:rsidRPr="004E223F">
              <w:rPr>
                <w:rFonts w:ascii="Times New Roman" w:hAnsi="Times New Roman" w:cs="Times New Roman"/>
              </w:rPr>
              <w:t>Trierweiller</w:t>
            </w:r>
            <w:proofErr w:type="spellEnd"/>
            <w:r w:rsidRPr="004E223F">
              <w:rPr>
                <w:rFonts w:ascii="Times New Roman" w:hAnsi="Times New Roman" w:cs="Times New Roman"/>
              </w:rPr>
              <w:t xml:space="preserve">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Doutora </w:t>
            </w:r>
          </w:p>
        </w:tc>
      </w:tr>
      <w:tr w:rsidR="004E223F" w:rsidRPr="004E223F" w:rsidTr="004E223F">
        <w:trPr>
          <w:trHeight w:val="137"/>
        </w:trPr>
        <w:tc>
          <w:tcPr>
            <w:tcW w:w="4928"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Suplente (externo) </w:t>
            </w:r>
          </w:p>
        </w:tc>
        <w:tc>
          <w:tcPr>
            <w:tcW w:w="3827"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rPr>
              <w:t xml:space="preserve">Paulo Manoel Mafra </w:t>
            </w:r>
          </w:p>
        </w:tc>
        <w:tc>
          <w:tcPr>
            <w:tcW w:w="1276" w:type="dxa"/>
          </w:tcPr>
          <w:p w:rsidR="004E223F" w:rsidRPr="004E223F" w:rsidRDefault="004E223F">
            <w:pPr>
              <w:pStyle w:val="Default"/>
              <w:rPr>
                <w:rFonts w:ascii="Times New Roman" w:hAnsi="Times New Roman" w:cs="Times New Roman"/>
              </w:rPr>
            </w:pPr>
            <w:r w:rsidRPr="004E223F">
              <w:rPr>
                <w:rFonts w:ascii="Times New Roman" w:hAnsi="Times New Roman" w:cs="Times New Roman"/>
                <w:bCs/>
              </w:rPr>
              <w:t xml:space="preserve">Doutor </w:t>
            </w:r>
          </w:p>
        </w:tc>
      </w:tr>
    </w:tbl>
    <w:p w:rsidR="00E938AE" w:rsidRDefault="00E938AE"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C922FB" w:rsidRDefault="00C922FB" w:rsidP="003265E7">
      <w:pPr>
        <w:jc w:val="both"/>
        <w:rPr>
          <w:sz w:val="24"/>
          <w:szCs w:val="24"/>
          <w:shd w:val="clear" w:color="auto" w:fill="FFFFFF"/>
        </w:rPr>
      </w:pP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99" w:rsidRDefault="00793799" w:rsidP="00050802">
      <w:r>
        <w:separator/>
      </w:r>
    </w:p>
  </w:endnote>
  <w:endnote w:type="continuationSeparator" w:id="0">
    <w:p w:rsidR="00793799" w:rsidRDefault="00793799"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99" w:rsidRDefault="00793799" w:rsidP="00050802">
      <w:r>
        <w:separator/>
      </w:r>
    </w:p>
  </w:footnote>
  <w:footnote w:type="continuationSeparator" w:id="0">
    <w:p w:rsidR="00793799" w:rsidRDefault="00793799"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ED019F">
    <w:pPr>
      <w:pStyle w:val="Cabealho"/>
    </w:pPr>
  </w:p>
  <w:p w:rsidR="00B328E2" w:rsidRDefault="00ED019F" w:rsidP="0095005E">
    <w:pPr>
      <w:pStyle w:val="Cabealho"/>
      <w:jc w:val="center"/>
    </w:pPr>
    <w:r>
      <w:rPr>
        <w:noProof/>
      </w:rPr>
      <w:drawing>
        <wp:inline distT="0" distB="0" distL="0" distR="0" wp14:anchorId="7707A087" wp14:editId="7AA64C42">
          <wp:extent cx="716280" cy="1112520"/>
          <wp:effectExtent l="0" t="0" r="7620" b="0"/>
          <wp:docPr id="32" name="Imagem 32" descr="C:\Users\juarez\Desktop\brasao_UFSC_hierarquia_vertical_duplo_ppg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uarez\Desktop\brasao_UFSC_hierarquia_vertical_duplo_ppgt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10B36"/>
    <w:rsid w:val="00047FF8"/>
    <w:rsid w:val="00050802"/>
    <w:rsid w:val="00080768"/>
    <w:rsid w:val="000807B6"/>
    <w:rsid w:val="000C0C34"/>
    <w:rsid w:val="000F025F"/>
    <w:rsid w:val="001000A6"/>
    <w:rsid w:val="00104459"/>
    <w:rsid w:val="00133DDA"/>
    <w:rsid w:val="001435B6"/>
    <w:rsid w:val="0014765E"/>
    <w:rsid w:val="00161E7F"/>
    <w:rsid w:val="00172315"/>
    <w:rsid w:val="0018287F"/>
    <w:rsid w:val="00193301"/>
    <w:rsid w:val="001A31A9"/>
    <w:rsid w:val="001B0585"/>
    <w:rsid w:val="001D1ABC"/>
    <w:rsid w:val="001D5677"/>
    <w:rsid w:val="001D7004"/>
    <w:rsid w:val="002145BC"/>
    <w:rsid w:val="002435AB"/>
    <w:rsid w:val="00247B4C"/>
    <w:rsid w:val="00252FD9"/>
    <w:rsid w:val="0027281A"/>
    <w:rsid w:val="00272F4E"/>
    <w:rsid w:val="00291137"/>
    <w:rsid w:val="002B23D8"/>
    <w:rsid w:val="002B4E00"/>
    <w:rsid w:val="002C2D73"/>
    <w:rsid w:val="002D0BCF"/>
    <w:rsid w:val="002D3E0C"/>
    <w:rsid w:val="002E0413"/>
    <w:rsid w:val="0031104E"/>
    <w:rsid w:val="003265E7"/>
    <w:rsid w:val="003527F3"/>
    <w:rsid w:val="00365454"/>
    <w:rsid w:val="00377D6E"/>
    <w:rsid w:val="00382D22"/>
    <w:rsid w:val="00390643"/>
    <w:rsid w:val="00393D98"/>
    <w:rsid w:val="00395DD0"/>
    <w:rsid w:val="003B4379"/>
    <w:rsid w:val="003B4A26"/>
    <w:rsid w:val="003F5C54"/>
    <w:rsid w:val="004616E1"/>
    <w:rsid w:val="004645A2"/>
    <w:rsid w:val="00476CDA"/>
    <w:rsid w:val="00483430"/>
    <w:rsid w:val="00483EFA"/>
    <w:rsid w:val="004879F5"/>
    <w:rsid w:val="004A33D6"/>
    <w:rsid w:val="004D31FF"/>
    <w:rsid w:val="004E223F"/>
    <w:rsid w:val="004F3AA1"/>
    <w:rsid w:val="004F3B4B"/>
    <w:rsid w:val="00500E8D"/>
    <w:rsid w:val="0050615A"/>
    <w:rsid w:val="00507908"/>
    <w:rsid w:val="0056000D"/>
    <w:rsid w:val="0056492F"/>
    <w:rsid w:val="0058213A"/>
    <w:rsid w:val="00587879"/>
    <w:rsid w:val="00592E99"/>
    <w:rsid w:val="005958B4"/>
    <w:rsid w:val="005A6BC2"/>
    <w:rsid w:val="005C6A20"/>
    <w:rsid w:val="005D5D75"/>
    <w:rsid w:val="005D62BD"/>
    <w:rsid w:val="00612006"/>
    <w:rsid w:val="00613E5A"/>
    <w:rsid w:val="00635636"/>
    <w:rsid w:val="00684E35"/>
    <w:rsid w:val="00696341"/>
    <w:rsid w:val="006A6021"/>
    <w:rsid w:val="006B4778"/>
    <w:rsid w:val="006D5DF6"/>
    <w:rsid w:val="0070478D"/>
    <w:rsid w:val="007241FC"/>
    <w:rsid w:val="007311F5"/>
    <w:rsid w:val="00732737"/>
    <w:rsid w:val="00735B27"/>
    <w:rsid w:val="00761A25"/>
    <w:rsid w:val="00777CE3"/>
    <w:rsid w:val="00793799"/>
    <w:rsid w:val="00794CFB"/>
    <w:rsid w:val="007A2CB3"/>
    <w:rsid w:val="007D79C1"/>
    <w:rsid w:val="007D7E36"/>
    <w:rsid w:val="007E3513"/>
    <w:rsid w:val="0080460D"/>
    <w:rsid w:val="00806CD1"/>
    <w:rsid w:val="00813851"/>
    <w:rsid w:val="008563CA"/>
    <w:rsid w:val="00857634"/>
    <w:rsid w:val="00872CAE"/>
    <w:rsid w:val="00894882"/>
    <w:rsid w:val="0093134B"/>
    <w:rsid w:val="0095005E"/>
    <w:rsid w:val="0095387B"/>
    <w:rsid w:val="00961CC4"/>
    <w:rsid w:val="00963A82"/>
    <w:rsid w:val="00985E11"/>
    <w:rsid w:val="0099399D"/>
    <w:rsid w:val="009A12BC"/>
    <w:rsid w:val="009C3D84"/>
    <w:rsid w:val="009E4C5F"/>
    <w:rsid w:val="009F29E8"/>
    <w:rsid w:val="009F43A6"/>
    <w:rsid w:val="00A33025"/>
    <w:rsid w:val="00A82728"/>
    <w:rsid w:val="00AA38F6"/>
    <w:rsid w:val="00AA7549"/>
    <w:rsid w:val="00AB3F46"/>
    <w:rsid w:val="00AE2FA8"/>
    <w:rsid w:val="00B23EF4"/>
    <w:rsid w:val="00B328E2"/>
    <w:rsid w:val="00B554C3"/>
    <w:rsid w:val="00B64FC4"/>
    <w:rsid w:val="00B7745C"/>
    <w:rsid w:val="00B8336E"/>
    <w:rsid w:val="00B86663"/>
    <w:rsid w:val="00B94767"/>
    <w:rsid w:val="00B95A77"/>
    <w:rsid w:val="00BC23DB"/>
    <w:rsid w:val="00BF776A"/>
    <w:rsid w:val="00C05CAA"/>
    <w:rsid w:val="00C2684D"/>
    <w:rsid w:val="00C41E57"/>
    <w:rsid w:val="00C569A7"/>
    <w:rsid w:val="00C75BA7"/>
    <w:rsid w:val="00C86F12"/>
    <w:rsid w:val="00C922FB"/>
    <w:rsid w:val="00C9324F"/>
    <w:rsid w:val="00CC49B6"/>
    <w:rsid w:val="00CC6DB7"/>
    <w:rsid w:val="00CE2F25"/>
    <w:rsid w:val="00CF1701"/>
    <w:rsid w:val="00CF5C4D"/>
    <w:rsid w:val="00CF7D96"/>
    <w:rsid w:val="00D21D4F"/>
    <w:rsid w:val="00D251DC"/>
    <w:rsid w:val="00D45843"/>
    <w:rsid w:val="00D52CA7"/>
    <w:rsid w:val="00D61588"/>
    <w:rsid w:val="00D8469A"/>
    <w:rsid w:val="00D87997"/>
    <w:rsid w:val="00DE41ED"/>
    <w:rsid w:val="00DE71FE"/>
    <w:rsid w:val="00DF6903"/>
    <w:rsid w:val="00E21362"/>
    <w:rsid w:val="00E358FC"/>
    <w:rsid w:val="00E4027E"/>
    <w:rsid w:val="00E42AC3"/>
    <w:rsid w:val="00E80BED"/>
    <w:rsid w:val="00E90D2A"/>
    <w:rsid w:val="00E938AE"/>
    <w:rsid w:val="00E964CB"/>
    <w:rsid w:val="00E973D1"/>
    <w:rsid w:val="00EB273A"/>
    <w:rsid w:val="00EB3994"/>
    <w:rsid w:val="00ED019F"/>
    <w:rsid w:val="00F11727"/>
    <w:rsid w:val="00F14A37"/>
    <w:rsid w:val="00F47FF8"/>
    <w:rsid w:val="00F50253"/>
    <w:rsid w:val="00F60D7F"/>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 w:type="paragraph" w:customStyle="1" w:styleId="Default">
    <w:name w:val="Default"/>
    <w:rsid w:val="004E223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 w:type="paragraph" w:customStyle="1" w:styleId="Default">
    <w:name w:val="Default"/>
    <w:rsid w:val="004E22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1F4E-E644-417E-9AB8-02DED702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ARA-PC-SEC-XXX</cp:lastModifiedBy>
  <cp:revision>2</cp:revision>
  <cp:lastPrinted>2018-02-05T19:41:00Z</cp:lastPrinted>
  <dcterms:created xsi:type="dcterms:W3CDTF">2018-02-15T19:52:00Z</dcterms:created>
  <dcterms:modified xsi:type="dcterms:W3CDTF">2018-02-15T19:52:00Z</dcterms:modified>
</cp:coreProperties>
</file>